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7643"/>
        <w:gridCol w:w="406"/>
        <w:gridCol w:w="2044"/>
      </w:tblGrid>
      <w:tr w:rsidR="00B53E2E" w:rsidRPr="00B4714E" w:rsidTr="00B53E2E">
        <w:trPr>
          <w:trHeight w:hRule="exact" w:val="1134"/>
        </w:trPr>
        <w:tc>
          <w:tcPr>
            <w:tcW w:w="7643" w:type="dxa"/>
          </w:tcPr>
          <w:p w:rsidR="00B53E2E" w:rsidRPr="006835D0" w:rsidRDefault="00B53E2E" w:rsidP="006835D0">
            <w:pPr>
              <w:pStyle w:val="Overskrift1"/>
              <w:rPr>
                <w:sz w:val="32"/>
              </w:rPr>
            </w:pPr>
            <w:r w:rsidRPr="006835D0">
              <w:rPr>
                <w:sz w:val="32"/>
              </w:rPr>
              <w:t xml:space="preserve">Ændringslog til Vejledning til model for porteføljestyring af statslige it-systemer 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B53E2E" w:rsidRPr="00B4714E" w:rsidRDefault="00B53E2E" w:rsidP="00CE38A3">
            <w:pPr>
              <w:pStyle w:val="Template-Dokumentnavn"/>
            </w:pPr>
          </w:p>
        </w:tc>
        <w:tc>
          <w:tcPr>
            <w:tcW w:w="2044" w:type="dxa"/>
            <w:vMerge w:val="restart"/>
            <w:tcBorders>
              <w:top w:val="nil"/>
            </w:tcBorders>
          </w:tcPr>
          <w:p w:rsidR="00B53E2E" w:rsidRPr="00B4714E" w:rsidRDefault="00B53E2E" w:rsidP="00CE38A3">
            <w:pPr>
              <w:pStyle w:val="Template-Dato"/>
            </w:pPr>
            <w:bookmarkStart w:id="0" w:name="SD_FLD_JournalNr"/>
            <w:bookmarkStart w:id="1" w:name="HIF_SD_FLD_JournalNr"/>
            <w:bookmarkEnd w:id="0"/>
            <w:r w:rsidRPr="00B4714E">
              <w:rPr>
                <w:vanish/>
              </w:rPr>
              <w:t xml:space="preserve"> </w:t>
            </w:r>
            <w:bookmarkEnd w:id="1"/>
          </w:p>
        </w:tc>
      </w:tr>
      <w:tr w:rsidR="00B53E2E" w:rsidRPr="00B4714E" w:rsidTr="00CE38A3">
        <w:trPr>
          <w:trHeight w:val="340"/>
        </w:trPr>
        <w:tc>
          <w:tcPr>
            <w:tcW w:w="7643" w:type="dxa"/>
          </w:tcPr>
          <w:p w:rsidR="00B53E2E" w:rsidRPr="00B4714E" w:rsidRDefault="00B53E2E" w:rsidP="00CE38A3"/>
        </w:tc>
        <w:tc>
          <w:tcPr>
            <w:tcW w:w="406" w:type="dxa"/>
            <w:tcBorders>
              <w:top w:val="nil"/>
              <w:bottom w:val="nil"/>
            </w:tcBorders>
          </w:tcPr>
          <w:p w:rsidR="00B53E2E" w:rsidRPr="00B4714E" w:rsidRDefault="00B53E2E" w:rsidP="00CE38A3"/>
        </w:tc>
        <w:tc>
          <w:tcPr>
            <w:tcW w:w="2044" w:type="dxa"/>
            <w:vMerge/>
            <w:tcBorders>
              <w:bottom w:val="nil"/>
            </w:tcBorders>
          </w:tcPr>
          <w:p w:rsidR="00B53E2E" w:rsidRPr="00B4714E" w:rsidRDefault="00B53E2E" w:rsidP="00CE38A3"/>
        </w:tc>
      </w:tr>
    </w:tbl>
    <w:p w:rsidR="00C91FC4" w:rsidRDefault="008A5EDA" w:rsidP="00847B88">
      <w:pPr>
        <w:pStyle w:val="Overskrift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Opdatering d. 16</w:t>
      </w:r>
      <w:r w:rsidR="00C03ABC">
        <w:rPr>
          <w:rFonts w:ascii="Garamond" w:hAnsi="Garamond"/>
          <w:sz w:val="26"/>
          <w:szCs w:val="26"/>
        </w:rPr>
        <w:t>.</w:t>
      </w:r>
      <w:r w:rsidR="00C91FC4">
        <w:rPr>
          <w:rFonts w:ascii="Garamond" w:hAnsi="Garamond"/>
          <w:sz w:val="26"/>
          <w:szCs w:val="26"/>
        </w:rPr>
        <w:t xml:space="preserve"> september 2024</w:t>
      </w:r>
    </w:p>
    <w:p w:rsidR="00C91FC4" w:rsidRDefault="00C91FC4" w:rsidP="00C91FC4">
      <w:pPr>
        <w:rPr>
          <w:iCs/>
          <w:sz w:val="23"/>
          <w:szCs w:val="23"/>
        </w:rPr>
      </w:pPr>
      <w:r w:rsidRPr="00246F63">
        <w:rPr>
          <w:i/>
          <w:iCs/>
          <w:sz w:val="23"/>
          <w:szCs w:val="23"/>
        </w:rPr>
        <w:t>Vejledning til model for porteføljestyring af statslige it-systemer</w:t>
      </w:r>
      <w:r>
        <w:rPr>
          <w:iCs/>
          <w:sz w:val="23"/>
          <w:szCs w:val="23"/>
        </w:rPr>
        <w:t xml:space="preserve"> er opdateret per </w:t>
      </w:r>
      <w:r w:rsidR="00184267">
        <w:t>16</w:t>
      </w:r>
      <w:bookmarkStart w:id="2" w:name="_GoBack"/>
      <w:bookmarkEnd w:id="2"/>
      <w:r>
        <w:t xml:space="preserve">. september 2024 </w:t>
      </w:r>
      <w:r>
        <w:rPr>
          <w:iCs/>
          <w:sz w:val="23"/>
          <w:szCs w:val="23"/>
        </w:rPr>
        <w:t>til version 5.2.</w:t>
      </w:r>
    </w:p>
    <w:p w:rsidR="00C91FC4" w:rsidRDefault="00C91FC4" w:rsidP="00C91FC4">
      <w:pPr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Ændringerne er: </w:t>
      </w:r>
    </w:p>
    <w:p w:rsidR="00C91FC4" w:rsidRPr="00C91FC4" w:rsidRDefault="00C91FC4" w:rsidP="00C91FC4">
      <w:pPr>
        <w:pStyle w:val="Listeafsnit"/>
        <w:numPr>
          <w:ilvl w:val="0"/>
          <w:numId w:val="29"/>
        </w:numPr>
        <w:rPr>
          <w:iCs/>
          <w:sz w:val="23"/>
          <w:szCs w:val="23"/>
        </w:rPr>
      </w:pPr>
      <w:r w:rsidRPr="00A266CB">
        <w:t xml:space="preserve">Justeret tekst om </w:t>
      </w:r>
      <w:r>
        <w:t xml:space="preserve">værktøjer til kortlægning, så den svarer til, at al kortlægning skal foretages i datagrundlaget. </w:t>
      </w:r>
    </w:p>
    <w:p w:rsidR="00C91FC4" w:rsidRPr="00C91FC4" w:rsidRDefault="00C91FC4" w:rsidP="00C91FC4">
      <w:pPr>
        <w:pStyle w:val="Listeafsnit"/>
        <w:numPr>
          <w:ilvl w:val="0"/>
          <w:numId w:val="29"/>
        </w:numPr>
        <w:rPr>
          <w:iCs/>
          <w:sz w:val="23"/>
          <w:szCs w:val="23"/>
        </w:rPr>
      </w:pPr>
      <w:r>
        <w:t xml:space="preserve">Justeret tekst om it-handlingsplanens nedslagspunkter om porteføljetilstanden, så den svarer til den nye handlingsplansskabelon. </w:t>
      </w:r>
    </w:p>
    <w:p w:rsidR="00A266CB" w:rsidRDefault="002C1153" w:rsidP="00847B88">
      <w:pPr>
        <w:pStyle w:val="Overskrift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Opdatering d. 23</w:t>
      </w:r>
      <w:r w:rsidR="00C03ABC">
        <w:rPr>
          <w:rFonts w:ascii="Garamond" w:hAnsi="Garamond"/>
          <w:sz w:val="26"/>
          <w:szCs w:val="26"/>
        </w:rPr>
        <w:t>.</w:t>
      </w:r>
      <w:r w:rsidR="00A266CB">
        <w:rPr>
          <w:rFonts w:ascii="Garamond" w:hAnsi="Garamond"/>
          <w:sz w:val="26"/>
          <w:szCs w:val="26"/>
        </w:rPr>
        <w:t xml:space="preserve"> januar 2024</w:t>
      </w:r>
    </w:p>
    <w:p w:rsidR="00A266CB" w:rsidRDefault="00A266CB" w:rsidP="00A266CB">
      <w:pPr>
        <w:rPr>
          <w:iCs/>
          <w:sz w:val="23"/>
          <w:szCs w:val="23"/>
        </w:rPr>
      </w:pPr>
      <w:r w:rsidRPr="00246F63">
        <w:rPr>
          <w:i/>
          <w:iCs/>
          <w:sz w:val="23"/>
          <w:szCs w:val="23"/>
        </w:rPr>
        <w:t>Vejledning til model for porteføljestyring af statslige it-systemer</w:t>
      </w:r>
      <w:r>
        <w:rPr>
          <w:iCs/>
          <w:sz w:val="23"/>
          <w:szCs w:val="23"/>
        </w:rPr>
        <w:t xml:space="preserve"> er opdateret per </w:t>
      </w:r>
      <w:r w:rsidR="002C1153">
        <w:t>23</w:t>
      </w:r>
      <w:r>
        <w:t xml:space="preserve">. </w:t>
      </w:r>
      <w:r w:rsidR="002C1153">
        <w:t>januar 2024</w:t>
      </w:r>
      <w:r>
        <w:t xml:space="preserve"> </w:t>
      </w:r>
      <w:r>
        <w:rPr>
          <w:iCs/>
          <w:sz w:val="23"/>
          <w:szCs w:val="23"/>
        </w:rPr>
        <w:t>til version 5.1.</w:t>
      </w:r>
    </w:p>
    <w:p w:rsidR="00A266CB" w:rsidRDefault="00A266CB" w:rsidP="00A266CB">
      <w:pPr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Ændringerne er: </w:t>
      </w:r>
    </w:p>
    <w:p w:rsidR="00A266CB" w:rsidRPr="00A266CB" w:rsidRDefault="00A266CB" w:rsidP="00A266CB">
      <w:pPr>
        <w:pStyle w:val="Opstilling-punkttegn"/>
        <w:numPr>
          <w:ilvl w:val="0"/>
          <w:numId w:val="26"/>
        </w:numPr>
      </w:pPr>
      <w:r w:rsidRPr="00A266CB">
        <w:t xml:space="preserve">Justeret tekst om it-handlingsplanens kapitler, så den svarer til det nye power point format. </w:t>
      </w:r>
    </w:p>
    <w:p w:rsidR="00A266CB" w:rsidRPr="00A266CB" w:rsidRDefault="00A266CB" w:rsidP="00A266CB"/>
    <w:p w:rsidR="00847B88" w:rsidRDefault="00847B88" w:rsidP="00847B88">
      <w:pPr>
        <w:pStyle w:val="Overskrift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Opdatering</w:t>
      </w:r>
      <w:r w:rsidR="002A4CD3">
        <w:rPr>
          <w:rFonts w:ascii="Garamond" w:hAnsi="Garamond"/>
          <w:sz w:val="26"/>
          <w:szCs w:val="26"/>
        </w:rPr>
        <w:t xml:space="preserve"> d.</w:t>
      </w:r>
      <w:r w:rsidRPr="00847B88">
        <w:rPr>
          <w:rFonts w:ascii="Garamond" w:hAnsi="Garamond"/>
          <w:sz w:val="26"/>
          <w:szCs w:val="26"/>
        </w:rPr>
        <w:t xml:space="preserve"> </w:t>
      </w:r>
      <w:r w:rsidR="00A06294">
        <w:rPr>
          <w:rFonts w:ascii="Garamond" w:hAnsi="Garamond"/>
          <w:sz w:val="26"/>
          <w:szCs w:val="26"/>
        </w:rPr>
        <w:t>16</w:t>
      </w:r>
      <w:r w:rsidRPr="00847B88">
        <w:rPr>
          <w:rFonts w:ascii="Garamond" w:hAnsi="Garamond"/>
          <w:sz w:val="26"/>
          <w:szCs w:val="26"/>
        </w:rPr>
        <w:t>. maj 2023</w:t>
      </w:r>
    </w:p>
    <w:p w:rsidR="00847B88" w:rsidRDefault="00847B88" w:rsidP="00847B88">
      <w:pPr>
        <w:rPr>
          <w:iCs/>
          <w:sz w:val="23"/>
          <w:szCs w:val="23"/>
        </w:rPr>
      </w:pPr>
      <w:r w:rsidRPr="00246F63">
        <w:rPr>
          <w:i/>
          <w:iCs/>
          <w:sz w:val="23"/>
          <w:szCs w:val="23"/>
        </w:rPr>
        <w:t>Vejledning til model for porteføljestyring af statslige it-systemer</w:t>
      </w:r>
      <w:r>
        <w:rPr>
          <w:iCs/>
          <w:sz w:val="23"/>
          <w:szCs w:val="23"/>
        </w:rPr>
        <w:t xml:space="preserve"> er opdateret per </w:t>
      </w:r>
      <w:r w:rsidR="00A06294">
        <w:t>16</w:t>
      </w:r>
      <w:r>
        <w:t xml:space="preserve">. maj 2023 </w:t>
      </w:r>
      <w:r>
        <w:rPr>
          <w:iCs/>
          <w:sz w:val="23"/>
          <w:szCs w:val="23"/>
        </w:rPr>
        <w:t>til version 5.0.</w:t>
      </w:r>
    </w:p>
    <w:p w:rsidR="00847B88" w:rsidRDefault="00847B88" w:rsidP="00847B88">
      <w:pPr>
        <w:rPr>
          <w:iCs/>
          <w:sz w:val="23"/>
          <w:szCs w:val="23"/>
        </w:rPr>
      </w:pPr>
      <w:r>
        <w:rPr>
          <w:iCs/>
          <w:sz w:val="23"/>
          <w:szCs w:val="23"/>
        </w:rPr>
        <w:t>Ændringerne er:</w:t>
      </w:r>
    </w:p>
    <w:p w:rsidR="00847B88" w:rsidRDefault="00847B88" w:rsidP="00847B88">
      <w:pPr>
        <w:pStyle w:val="Opstilling-punkttegn"/>
        <w:numPr>
          <w:ilvl w:val="0"/>
          <w:numId w:val="26"/>
        </w:numPr>
      </w:pPr>
      <w:r>
        <w:t>Vejledningen er tilrettet, så den matcher den nye version 5.0 af datagrundlaget.</w:t>
      </w:r>
    </w:p>
    <w:p w:rsidR="00C40F41" w:rsidRPr="00EC08EF" w:rsidRDefault="00C40F41" w:rsidP="00847B88">
      <w:pPr>
        <w:pStyle w:val="Opstilling-punkttegn"/>
        <w:numPr>
          <w:ilvl w:val="0"/>
          <w:numId w:val="26"/>
        </w:numPr>
      </w:pPr>
      <w:r>
        <w:t>Tilføjelse af afsnit om it-systemejerskab.</w:t>
      </w:r>
    </w:p>
    <w:p w:rsidR="00847B88" w:rsidRDefault="00847B88" w:rsidP="00847B88">
      <w:pPr>
        <w:pStyle w:val="Overskrift2"/>
        <w:rPr>
          <w:rFonts w:ascii="Garamond" w:hAnsi="Garamond"/>
          <w:sz w:val="26"/>
          <w:szCs w:val="26"/>
        </w:rPr>
      </w:pPr>
    </w:p>
    <w:p w:rsidR="00EC08EF" w:rsidRDefault="00EC08EF" w:rsidP="00EC08EF">
      <w:pPr>
        <w:pStyle w:val="Overskrift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Opdatering d. 8. april 2022</w:t>
      </w:r>
    </w:p>
    <w:p w:rsidR="00EC08EF" w:rsidRDefault="00EC08EF" w:rsidP="00EC08EF">
      <w:pPr>
        <w:rPr>
          <w:iCs/>
          <w:sz w:val="23"/>
          <w:szCs w:val="23"/>
        </w:rPr>
      </w:pPr>
      <w:r w:rsidRPr="00246F63">
        <w:rPr>
          <w:i/>
          <w:iCs/>
          <w:sz w:val="23"/>
          <w:szCs w:val="23"/>
        </w:rPr>
        <w:t>Vejledning til model for porteføljestyring af statslige it-systemer</w:t>
      </w:r>
      <w:r>
        <w:rPr>
          <w:iCs/>
          <w:sz w:val="23"/>
          <w:szCs w:val="23"/>
        </w:rPr>
        <w:t xml:space="preserve"> er opdateret per. 8. april 2022 til version 4.0.</w:t>
      </w:r>
    </w:p>
    <w:p w:rsidR="00EC08EF" w:rsidRDefault="00EC08EF" w:rsidP="00EC08EF">
      <w:pPr>
        <w:rPr>
          <w:iCs/>
          <w:sz w:val="23"/>
          <w:szCs w:val="23"/>
        </w:rPr>
      </w:pPr>
      <w:r>
        <w:rPr>
          <w:iCs/>
          <w:sz w:val="23"/>
          <w:szCs w:val="23"/>
        </w:rPr>
        <w:t>Ændringerne er:</w:t>
      </w:r>
    </w:p>
    <w:p w:rsidR="00EC08EF" w:rsidRPr="00EC08EF" w:rsidRDefault="00EC08EF" w:rsidP="00EC08EF">
      <w:pPr>
        <w:pStyle w:val="Opstilling-punkttegn"/>
        <w:numPr>
          <w:ilvl w:val="0"/>
          <w:numId w:val="26"/>
        </w:numPr>
      </w:pPr>
      <w:r>
        <w:lastRenderedPageBreak/>
        <w:t xml:space="preserve">Vejledningen er tilrettet, så vejledningen matcher det nye datagrundlag og den nye it-handlingsplansskabelon </w:t>
      </w:r>
      <w:r w:rsidR="00230720">
        <w:t>som følge af justeringen af model for porteføljestyring.</w:t>
      </w:r>
    </w:p>
    <w:p w:rsidR="00E87B31" w:rsidRDefault="00E87B31" w:rsidP="000D7855">
      <w:pPr>
        <w:pStyle w:val="Overskrift2"/>
        <w:rPr>
          <w:rFonts w:ascii="Garamond" w:hAnsi="Garamond"/>
          <w:sz w:val="26"/>
          <w:szCs w:val="26"/>
        </w:rPr>
      </w:pPr>
    </w:p>
    <w:p w:rsidR="000D7855" w:rsidRDefault="000D7855" w:rsidP="000D7855">
      <w:pPr>
        <w:pStyle w:val="Overskrift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Opdatering d. 2. december 2020</w:t>
      </w:r>
    </w:p>
    <w:p w:rsidR="000D7855" w:rsidRDefault="000D7855" w:rsidP="000D7855">
      <w:pPr>
        <w:rPr>
          <w:iCs/>
          <w:sz w:val="23"/>
          <w:szCs w:val="23"/>
        </w:rPr>
      </w:pPr>
      <w:r w:rsidRPr="00246F63">
        <w:rPr>
          <w:i/>
          <w:iCs/>
          <w:sz w:val="23"/>
          <w:szCs w:val="23"/>
        </w:rPr>
        <w:t>Vejledning til model for porteføljestyring af statslige it-systemer</w:t>
      </w:r>
      <w:r>
        <w:rPr>
          <w:iCs/>
          <w:sz w:val="23"/>
          <w:szCs w:val="23"/>
        </w:rPr>
        <w:t xml:space="preserve"> er opdateret per. </w:t>
      </w:r>
      <w:r w:rsidR="00A55427">
        <w:rPr>
          <w:iCs/>
          <w:sz w:val="23"/>
          <w:szCs w:val="23"/>
        </w:rPr>
        <w:t>2. december 2020 til version 3.</w:t>
      </w:r>
      <w:r w:rsidR="00E87B31">
        <w:rPr>
          <w:iCs/>
          <w:sz w:val="23"/>
          <w:szCs w:val="23"/>
        </w:rPr>
        <w:t>1</w:t>
      </w:r>
      <w:r>
        <w:rPr>
          <w:iCs/>
          <w:sz w:val="23"/>
          <w:szCs w:val="23"/>
        </w:rPr>
        <w:t>.</w:t>
      </w:r>
    </w:p>
    <w:p w:rsidR="000D7855" w:rsidRDefault="000D7855" w:rsidP="000D7855">
      <w:pPr>
        <w:rPr>
          <w:iCs/>
          <w:sz w:val="23"/>
          <w:szCs w:val="23"/>
        </w:rPr>
      </w:pPr>
      <w:r>
        <w:rPr>
          <w:iCs/>
          <w:sz w:val="23"/>
          <w:szCs w:val="23"/>
        </w:rPr>
        <w:t>Ændringerne er:</w:t>
      </w:r>
    </w:p>
    <w:p w:rsidR="000D7855" w:rsidRPr="000D7855" w:rsidRDefault="000D7855" w:rsidP="006835D0">
      <w:pPr>
        <w:pStyle w:val="Opstilling-punkttegn"/>
      </w:pPr>
      <w:r>
        <w:t>Opdatering af definition på samfundskritiske systemer, inkl. reviderede hjælpespørgsmål til vurdering af samfundskritiske systemer i afsnit 4.1 og bilag 1.</w:t>
      </w:r>
    </w:p>
    <w:p w:rsidR="000D7855" w:rsidRDefault="000D7855" w:rsidP="006835D0">
      <w:pPr>
        <w:pStyle w:val="Overskrift2"/>
        <w:rPr>
          <w:rFonts w:ascii="Garamond" w:hAnsi="Garamond"/>
          <w:sz w:val="26"/>
          <w:szCs w:val="26"/>
        </w:rPr>
      </w:pPr>
    </w:p>
    <w:p w:rsidR="00F847A6" w:rsidRDefault="00F847A6" w:rsidP="006835D0">
      <w:pPr>
        <w:pStyle w:val="Overskrift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Opdatering d. 23. december 2019</w:t>
      </w:r>
    </w:p>
    <w:p w:rsidR="005448DA" w:rsidRDefault="005448DA" w:rsidP="005448DA">
      <w:pPr>
        <w:rPr>
          <w:iCs/>
          <w:sz w:val="23"/>
          <w:szCs w:val="23"/>
        </w:rPr>
      </w:pPr>
      <w:r w:rsidRPr="00246F63">
        <w:rPr>
          <w:i/>
          <w:iCs/>
          <w:sz w:val="23"/>
          <w:szCs w:val="23"/>
        </w:rPr>
        <w:t>Vejledning til model for porteføljestyring af statslige it-systemer</w:t>
      </w:r>
      <w:r>
        <w:rPr>
          <w:iCs/>
          <w:sz w:val="23"/>
          <w:szCs w:val="23"/>
        </w:rPr>
        <w:t xml:space="preserve"> er opdateret per. 23. december 2019 til version 3.0.</w:t>
      </w:r>
    </w:p>
    <w:p w:rsidR="005448DA" w:rsidRDefault="005448DA" w:rsidP="005448DA">
      <w:pPr>
        <w:rPr>
          <w:iCs/>
          <w:sz w:val="23"/>
          <w:szCs w:val="23"/>
        </w:rPr>
      </w:pPr>
      <w:r>
        <w:rPr>
          <w:iCs/>
          <w:sz w:val="23"/>
          <w:szCs w:val="23"/>
        </w:rPr>
        <w:t>Ændringerne er:</w:t>
      </w:r>
    </w:p>
    <w:p w:rsidR="005448DA" w:rsidRDefault="005448DA" w:rsidP="005448DA">
      <w:pPr>
        <w:pStyle w:val="Opstilling-punkttegn"/>
      </w:pPr>
      <w:r>
        <w:t>Opdatering af procesbeskrivelser for at afspejle muligheden for af bruge værktøjet til basiskortlægning.</w:t>
      </w:r>
    </w:p>
    <w:p w:rsidR="005448DA" w:rsidRDefault="005448DA" w:rsidP="005448DA">
      <w:pPr>
        <w:pStyle w:val="Opstilling-punkttegn"/>
      </w:pPr>
      <w:r>
        <w:t>Tilføjelse af bilag 3 om værktøjet til basiskortlægning.</w:t>
      </w:r>
    </w:p>
    <w:p w:rsidR="005448DA" w:rsidRDefault="005448DA" w:rsidP="005448DA">
      <w:pPr>
        <w:pStyle w:val="Opstilling-punkttegn"/>
      </w:pPr>
      <w:r>
        <w:t>Sletning af det tidligere afsnit 1.2: Samlet proces for arbejdet med model for porteføljestyring af statslige it-systemer, da procesbeskrivelserne indgår i kapitel 2.</w:t>
      </w:r>
    </w:p>
    <w:p w:rsidR="005448DA" w:rsidRPr="005448DA" w:rsidRDefault="005448DA" w:rsidP="005448DA">
      <w:pPr>
        <w:pStyle w:val="Opstilling-punkttegn"/>
      </w:pPr>
      <w:r>
        <w:t>Sproglige tilretninger og præciseringer.</w:t>
      </w:r>
    </w:p>
    <w:p w:rsidR="00F847A6" w:rsidRDefault="00F847A6" w:rsidP="006835D0">
      <w:pPr>
        <w:pStyle w:val="Overskrift2"/>
        <w:rPr>
          <w:rFonts w:ascii="Garamond" w:hAnsi="Garamond"/>
          <w:sz w:val="26"/>
          <w:szCs w:val="26"/>
        </w:rPr>
      </w:pPr>
    </w:p>
    <w:p w:rsidR="009F41CB" w:rsidRPr="006835D0" w:rsidRDefault="009F41CB" w:rsidP="006835D0">
      <w:pPr>
        <w:pStyle w:val="Overskrift2"/>
        <w:rPr>
          <w:rFonts w:ascii="Garamond" w:hAnsi="Garamond"/>
          <w:sz w:val="26"/>
          <w:szCs w:val="26"/>
        </w:rPr>
      </w:pPr>
      <w:r w:rsidRPr="006835D0">
        <w:rPr>
          <w:rFonts w:ascii="Garamond" w:hAnsi="Garamond"/>
          <w:sz w:val="26"/>
          <w:szCs w:val="26"/>
        </w:rPr>
        <w:t>Opdatering d. 27. juni 2019</w:t>
      </w:r>
    </w:p>
    <w:p w:rsidR="009F41CB" w:rsidRDefault="009F41CB" w:rsidP="009F41CB">
      <w:pPr>
        <w:pStyle w:val="Default"/>
        <w:rPr>
          <w:iCs/>
          <w:sz w:val="23"/>
          <w:szCs w:val="23"/>
        </w:rPr>
      </w:pPr>
      <w:r w:rsidRPr="00246F63">
        <w:rPr>
          <w:i/>
          <w:iCs/>
          <w:sz w:val="23"/>
          <w:szCs w:val="23"/>
        </w:rPr>
        <w:t>Vejledning til model for porteføljestyring af statslige it-systemer</w:t>
      </w:r>
      <w:r>
        <w:rPr>
          <w:iCs/>
          <w:sz w:val="23"/>
          <w:szCs w:val="23"/>
        </w:rPr>
        <w:t xml:space="preserve"> er opdateret per. 27. juni 2019 til version 2.2.</w:t>
      </w:r>
    </w:p>
    <w:p w:rsidR="009F41CB" w:rsidRDefault="009F41CB" w:rsidP="009F41CB">
      <w:pPr>
        <w:pStyle w:val="Default"/>
        <w:rPr>
          <w:iCs/>
          <w:sz w:val="23"/>
          <w:szCs w:val="23"/>
        </w:rPr>
      </w:pPr>
    </w:p>
    <w:p w:rsidR="009F41CB" w:rsidRDefault="009F41CB" w:rsidP="009F41CB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>Ændringen er:</w:t>
      </w:r>
    </w:p>
    <w:p w:rsidR="009F41CB" w:rsidRDefault="009F41CB" w:rsidP="009F41CB">
      <w:pPr>
        <w:pStyle w:val="Opstilling-punkttegn"/>
      </w:pPr>
      <w:r>
        <w:t>Vejledningen er tilrettet, så vejledningen til handlingsplanen matcher den nye skabelon.</w:t>
      </w:r>
    </w:p>
    <w:p w:rsidR="009F41CB" w:rsidRPr="009F41CB" w:rsidRDefault="009F41CB" w:rsidP="009F41CB"/>
    <w:p w:rsidR="00246F63" w:rsidRPr="006835D0" w:rsidRDefault="00246F63" w:rsidP="006835D0">
      <w:pPr>
        <w:pStyle w:val="Overskrift2"/>
        <w:rPr>
          <w:rFonts w:ascii="Garamond" w:hAnsi="Garamond"/>
          <w:sz w:val="26"/>
          <w:szCs w:val="26"/>
        </w:rPr>
      </w:pPr>
      <w:r w:rsidRPr="006835D0">
        <w:rPr>
          <w:rFonts w:ascii="Garamond" w:hAnsi="Garamond"/>
          <w:sz w:val="26"/>
          <w:szCs w:val="26"/>
        </w:rPr>
        <w:t>Opdatering d. 28. februar 2019</w:t>
      </w:r>
    </w:p>
    <w:p w:rsidR="00246F63" w:rsidRDefault="00246F63" w:rsidP="00246F63">
      <w:pPr>
        <w:pStyle w:val="Default"/>
        <w:rPr>
          <w:iCs/>
          <w:sz w:val="23"/>
          <w:szCs w:val="23"/>
        </w:rPr>
      </w:pPr>
      <w:r w:rsidRPr="00246F63">
        <w:rPr>
          <w:i/>
          <w:iCs/>
          <w:sz w:val="23"/>
          <w:szCs w:val="23"/>
        </w:rPr>
        <w:t>Vejledning til model for porteføljestyring af statslige it-systemer</w:t>
      </w:r>
      <w:r>
        <w:rPr>
          <w:iCs/>
          <w:sz w:val="23"/>
          <w:szCs w:val="23"/>
        </w:rPr>
        <w:t xml:space="preserve"> er opdateret per. 28. februar 2019 til version 2.1.</w:t>
      </w:r>
    </w:p>
    <w:p w:rsidR="00246F63" w:rsidRDefault="00246F63" w:rsidP="00246F63">
      <w:pPr>
        <w:pStyle w:val="Default"/>
        <w:rPr>
          <w:iCs/>
          <w:sz w:val="23"/>
          <w:szCs w:val="23"/>
        </w:rPr>
      </w:pPr>
    </w:p>
    <w:p w:rsidR="00246F63" w:rsidRDefault="00246F63" w:rsidP="00246F63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>Ændringen er:</w:t>
      </w:r>
    </w:p>
    <w:p w:rsidR="00246F63" w:rsidRPr="00246F63" w:rsidRDefault="00246F63" w:rsidP="00246F63">
      <w:pPr>
        <w:pStyle w:val="Default"/>
        <w:rPr>
          <w:iCs/>
          <w:sz w:val="23"/>
          <w:szCs w:val="23"/>
        </w:rPr>
      </w:pPr>
    </w:p>
    <w:p w:rsidR="00246F63" w:rsidRDefault="00246F63" w:rsidP="00246F63">
      <w:pPr>
        <w:pStyle w:val="Opstilling-punkttegn"/>
      </w:pPr>
      <w:r>
        <w:lastRenderedPageBreak/>
        <w:t xml:space="preserve">I vejledningen er det tilføjet at: </w:t>
      </w:r>
      <w:r w:rsidRPr="00246F63">
        <w:rPr>
          <w:i/>
        </w:rPr>
        <w:t>”Det fremgår af budgetvejledningen, at alle statslige myndigheder med årlige it-omkostninger på 30 mio. kr. eller derover, og/eller et eller flere samfundskritiske it-systemer i deres it-systemportefølje, skal følge model for porteføljestyring af statslige it-systemer. Der stilles ikke krav om, at selvejende institutioner anvender modellen.”</w:t>
      </w:r>
    </w:p>
    <w:p w:rsidR="00246F63" w:rsidRPr="00246F63" w:rsidRDefault="00246F63" w:rsidP="00246F63"/>
    <w:p w:rsidR="00B53E2E" w:rsidRPr="006835D0" w:rsidRDefault="00B53E2E" w:rsidP="006835D0">
      <w:pPr>
        <w:pStyle w:val="Overskrift2"/>
        <w:rPr>
          <w:rFonts w:ascii="Garamond" w:hAnsi="Garamond"/>
          <w:sz w:val="26"/>
          <w:szCs w:val="26"/>
        </w:rPr>
      </w:pPr>
      <w:r w:rsidRPr="006835D0">
        <w:rPr>
          <w:rFonts w:ascii="Garamond" w:hAnsi="Garamond"/>
          <w:sz w:val="26"/>
          <w:szCs w:val="26"/>
        </w:rPr>
        <w:t xml:space="preserve">Opdatering d. </w:t>
      </w:r>
      <w:r w:rsidR="002A4527" w:rsidRPr="006835D0">
        <w:rPr>
          <w:rFonts w:ascii="Garamond" w:hAnsi="Garamond"/>
          <w:sz w:val="26"/>
          <w:szCs w:val="26"/>
        </w:rPr>
        <w:t>2. november</w:t>
      </w:r>
      <w:r w:rsidRPr="006835D0">
        <w:rPr>
          <w:rFonts w:ascii="Garamond" w:hAnsi="Garamond"/>
          <w:sz w:val="26"/>
          <w:szCs w:val="26"/>
        </w:rPr>
        <w:t xml:space="preserve"> 2018</w:t>
      </w:r>
    </w:p>
    <w:p w:rsidR="00B53E2E" w:rsidRDefault="00B53E2E" w:rsidP="00B53E2E">
      <w:r w:rsidRPr="00E20E09">
        <w:rPr>
          <w:i/>
        </w:rPr>
        <w:t>Vejledning til model for porteføljestyring af statslige it-systemer</w:t>
      </w:r>
      <w:r>
        <w:t xml:space="preserve"> er opdateret per 31. oktober 2018 til v</w:t>
      </w:r>
      <w:r w:rsidR="002A4527">
        <w:t>ersion 2.0</w:t>
      </w:r>
      <w:r>
        <w:t>.</w:t>
      </w:r>
    </w:p>
    <w:p w:rsidR="00B53E2E" w:rsidRPr="00F3419A" w:rsidRDefault="00B53E2E" w:rsidP="00B53E2E">
      <w:r>
        <w:t>Ændringerne er:</w:t>
      </w:r>
    </w:p>
    <w:p w:rsidR="00B53E2E" w:rsidRPr="00CF14FE" w:rsidRDefault="00B53E2E" w:rsidP="00B53E2E">
      <w:pPr>
        <w:pStyle w:val="Opstilling-punkttegn"/>
        <w:numPr>
          <w:ilvl w:val="0"/>
          <w:numId w:val="10"/>
        </w:numPr>
      </w:pPr>
      <w:r>
        <w:t xml:space="preserve">I vejledningen er det tilføjet at: </w:t>
      </w:r>
      <w:r w:rsidRPr="00E20E09">
        <w:rPr>
          <w:i/>
        </w:rPr>
        <w:t>”</w:t>
      </w:r>
      <w:r w:rsidRPr="00E20E09">
        <w:rPr>
          <w:i/>
          <w:szCs w:val="20"/>
        </w:rPr>
        <w:t>Det fremgår af budgetvejledningen, at alle statslige myndigheder med årlige it-omkostninger på 15 mio. kr. eller derover, og/eller et eller flere samfundskritiske it-systemer i deres it-systemportefølje, skal følge model for porteføljestyring af statslige it-systemer. Der stilles ikke krav om, at selvejende institutioner anvender modellen.”</w:t>
      </w:r>
    </w:p>
    <w:p w:rsidR="006835D0" w:rsidRDefault="00B53E2E" w:rsidP="006835D0">
      <w:pPr>
        <w:pStyle w:val="Opstilling-punkttegn"/>
        <w:numPr>
          <w:ilvl w:val="0"/>
          <w:numId w:val="10"/>
        </w:numPr>
      </w:pPr>
      <w:r>
        <w:t>Der er sket en yderligere specificering af kortlægningen af myndighedens it-omkostninger. For de enkelte it-systemer skal</w:t>
      </w:r>
      <w:r w:rsidRPr="00182E67">
        <w:t xml:space="preserve"> </w:t>
      </w:r>
      <w:r>
        <w:t xml:space="preserve">omkostninger </w:t>
      </w:r>
      <w:r w:rsidRPr="00182E67">
        <w:t xml:space="preserve">fordeles på </w:t>
      </w:r>
      <w:r>
        <w:t>omkostningstyperne it-drift, -vedligehold og -udvikling</w:t>
      </w:r>
      <w:r w:rsidRPr="00182E67">
        <w:t>.</w:t>
      </w:r>
      <w:r w:rsidR="006835D0">
        <w:t xml:space="preserve"> </w:t>
      </w:r>
    </w:p>
    <w:p w:rsidR="006835D0" w:rsidRDefault="006835D0" w:rsidP="006835D0">
      <w:pPr>
        <w:pStyle w:val="Opstilling-punkttegn"/>
        <w:numPr>
          <w:ilvl w:val="0"/>
          <w:numId w:val="0"/>
        </w:numPr>
      </w:pPr>
    </w:p>
    <w:p w:rsidR="00B53E2E" w:rsidRDefault="00B53E2E" w:rsidP="006835D0">
      <w:pPr>
        <w:pStyle w:val="Opstilling-punkttegn"/>
        <w:numPr>
          <w:ilvl w:val="0"/>
          <w:numId w:val="0"/>
        </w:numPr>
      </w:pPr>
      <w:r>
        <w:t>Bilag 1:</w:t>
      </w:r>
    </w:p>
    <w:p w:rsidR="00B53E2E" w:rsidRDefault="00B53E2E" w:rsidP="00B53E2E">
      <w:pPr>
        <w:pStyle w:val="Opstilling-punkttegn"/>
        <w:numPr>
          <w:ilvl w:val="0"/>
          <w:numId w:val="10"/>
        </w:numPr>
      </w:pPr>
      <w:r>
        <w:t xml:space="preserve">Forklaringen af de samlede årlige it-omkostninger i myndigheden eksklusive overhead og fælles omkostninger er blevet specificeret og uddybet yderligere. It-omkostninger dækker ud over it-opgaver også over it-varer til forbrug. Det er ligeledes tilføjet at omkostningerne skal angives for det senest afsluttede regnskabsår og opgøres brutto. Ligeledes er det uddybet at </w:t>
      </w:r>
      <w:r w:rsidRPr="006C6418">
        <w:t>alle it-omkostninger, som indgår i myndighedens årlige resultatopgørelse, og at fx anlægsførte anskaffelser først indgår idet, de afskrives.</w:t>
      </w:r>
      <w:r>
        <w:t xml:space="preserve"> Det inkluderer at, </w:t>
      </w:r>
      <w:r w:rsidRPr="006C6418">
        <w:t>alle it-omkostninger, som indgår i myndighedens årlige resultatopgørelse, og at fx anlægsførte anskaffelser først indgår idet, de afskrives.</w:t>
      </w:r>
    </w:p>
    <w:p w:rsidR="00B53E2E" w:rsidRDefault="00B53E2E" w:rsidP="00B53E2E">
      <w:pPr>
        <w:pStyle w:val="Opstilling-punkttegn"/>
        <w:numPr>
          <w:ilvl w:val="0"/>
          <w:numId w:val="10"/>
        </w:numPr>
      </w:pPr>
      <w:r>
        <w:t xml:space="preserve">Forklaringen af hvordan omkostningerne til it-systemet er sammensat er uddybet. </w:t>
      </w:r>
      <w:r w:rsidRPr="006C6418">
        <w:t>De kan også omfatte afskrivninger og renteudgifter til fx licenser og hardware.</w:t>
      </w:r>
      <w:r>
        <w:t xml:space="preserve"> De skal opgøres </w:t>
      </w:r>
      <w:r w:rsidRPr="006C6418">
        <w:t xml:space="preserve">brutto, samt </w:t>
      </w:r>
      <w:r w:rsidRPr="00397B1A">
        <w:t>eksklusive</w:t>
      </w:r>
      <w:r w:rsidRPr="006C6418">
        <w:t xml:space="preserve"> overhead og fællesomkostninger</w:t>
      </w:r>
      <w:r>
        <w:t>.</w:t>
      </w:r>
    </w:p>
    <w:p w:rsidR="00B53E2E" w:rsidRPr="00E20E09" w:rsidRDefault="00B53E2E" w:rsidP="00B53E2E">
      <w:pPr>
        <w:pStyle w:val="Opstilling-punkttegn"/>
        <w:numPr>
          <w:ilvl w:val="0"/>
          <w:numId w:val="10"/>
        </w:numPr>
      </w:pPr>
      <w:r w:rsidRPr="00E20E09">
        <w:t>Forklaringen af de årlige vedligeholdsomkostninger er uddybet. Såfremt der er tale om vedligeholdelsesaktiviteter kan afskrivninger og renteudgifter til fx licenser og hardware indgå i opgørelsen. Omkostninger skal opgøres brutto.</w:t>
      </w:r>
    </w:p>
    <w:p w:rsidR="00B53E2E" w:rsidRDefault="00B53E2E" w:rsidP="00B53E2E">
      <w:pPr>
        <w:pStyle w:val="Opstilling-punkttegn"/>
        <w:numPr>
          <w:ilvl w:val="0"/>
          <w:numId w:val="10"/>
        </w:numPr>
      </w:pPr>
      <w:r>
        <w:t xml:space="preserve">Forklaringen af interne personaleomkostninger ift. drift og vedligehold er ændret, så nu </w:t>
      </w:r>
      <w:r w:rsidRPr="006C6418">
        <w:t xml:space="preserve">skal </w:t>
      </w:r>
      <w:r>
        <w:t xml:space="preserve">de </w:t>
      </w:r>
      <w:r w:rsidRPr="006C6418">
        <w:t xml:space="preserve">opgøres både for drift og vedligehold i tillæg til at være en del af 28A og 28B, og interne personaleomkostninger til udvikling </w:t>
      </w:r>
      <w:r>
        <w:t>skal ikke opgøres d</w:t>
      </w:r>
      <w:r w:rsidRPr="006C6418">
        <w:t>er</w:t>
      </w:r>
      <w:r>
        <w:t>.</w:t>
      </w:r>
    </w:p>
    <w:p w:rsidR="00B53E2E" w:rsidRDefault="00B53E2E" w:rsidP="00B53E2E">
      <w:pPr>
        <w:pStyle w:val="Opstilling-punkttegn"/>
        <w:numPr>
          <w:ilvl w:val="0"/>
          <w:numId w:val="10"/>
        </w:numPr>
      </w:pPr>
      <w:r>
        <w:lastRenderedPageBreak/>
        <w:t xml:space="preserve">Forklaringen af de årlige omkostninger til it-systemet uddybes til at </w:t>
      </w:r>
      <w:r w:rsidRPr="006C6418">
        <w:t>forstås som de udviklingsaktiviteter, der vil være at finde på myndighedens årlige resultatopgørelse.</w:t>
      </w:r>
      <w:r>
        <w:t xml:space="preserve"> De skal opgøres</w:t>
      </w:r>
      <w:r w:rsidRPr="006C6418">
        <w:t xml:space="preserve"> brutto, samt eksklusive overhead og fællesomkostninger.</w:t>
      </w:r>
    </w:p>
    <w:p w:rsidR="00B53E2E" w:rsidRDefault="00B53E2E" w:rsidP="00B53E2E">
      <w:pPr>
        <w:pStyle w:val="Opstilling-punkttegn"/>
        <w:numPr>
          <w:ilvl w:val="0"/>
          <w:numId w:val="10"/>
        </w:numPr>
      </w:pPr>
      <w:r>
        <w:t xml:space="preserve">Forklaringen af de årlige udviklingsomkostninger uddybes til at forstås </w:t>
      </w:r>
      <w:r w:rsidRPr="00747D79">
        <w:t>som de udviklingsaktiviteter, der vil være at finde på myndighedens årlige resultatopgørelse.</w:t>
      </w:r>
      <w:r>
        <w:t xml:space="preserve"> Omkostninger skal opgøres brutto.</w:t>
      </w:r>
    </w:p>
    <w:p w:rsidR="00B53E2E" w:rsidRDefault="00B53E2E" w:rsidP="00B53E2E">
      <w:pPr>
        <w:pStyle w:val="Opstilling-punkttegn"/>
        <w:numPr>
          <w:ilvl w:val="0"/>
          <w:numId w:val="10"/>
        </w:numPr>
      </w:pPr>
      <w:r>
        <w:t xml:space="preserve">Forklaring af forventede investeringer i it-systemet i it-handlingsplanens periode uddybes. </w:t>
      </w:r>
      <w:r w:rsidRPr="00747D79">
        <w:t>Opgørelsen indeholder således ikke afskrivninger og renteudgifter, som falder på baggrund af investeringer inden tidspunktet for opgørelsen. Opgørelsen er desuden udgiftsbaseret i modsætning til de øvrige spørgsmål.</w:t>
      </w:r>
      <w:r>
        <w:t xml:space="preserve"> Omkostningerne skal opgøres brutto.</w:t>
      </w:r>
    </w:p>
    <w:p w:rsidR="00B53E2E" w:rsidRDefault="00B53E2E" w:rsidP="00B53E2E">
      <w:pPr>
        <w:pStyle w:val="Opstilling-punkttegn"/>
        <w:numPr>
          <w:ilvl w:val="0"/>
          <w:numId w:val="0"/>
        </w:numPr>
      </w:pPr>
    </w:p>
    <w:p w:rsidR="00B53E2E" w:rsidRDefault="00B53E2E" w:rsidP="00B53E2E">
      <w:pPr>
        <w:pStyle w:val="Opstilling-punkttegn"/>
        <w:numPr>
          <w:ilvl w:val="0"/>
          <w:numId w:val="0"/>
        </w:numPr>
      </w:pPr>
      <w:r>
        <w:t>Bilag 2:</w:t>
      </w:r>
    </w:p>
    <w:p w:rsidR="00B53E2E" w:rsidRDefault="00B53E2E" w:rsidP="00B53E2E">
      <w:pPr>
        <w:pStyle w:val="Opstilling-punkttegn"/>
        <w:numPr>
          <w:ilvl w:val="0"/>
          <w:numId w:val="10"/>
        </w:numPr>
        <w:spacing w:after="230" w:line="230" w:lineRule="atLeast"/>
        <w:contextualSpacing/>
      </w:pPr>
      <w:r>
        <w:t xml:space="preserve">Det tilføjes at: </w:t>
      </w:r>
      <w:r w:rsidRPr="00FC7B6D">
        <w:rPr>
          <w:i/>
        </w:rPr>
        <w:t>”Hvis it-systemet ikke eksisterede i hele eller noget af senest afsluttede regnskabsår estimeres de årlige omkostninger, hvor der fx kan tages udgangspunkt i budgettal. Det er vigtigt i dette tilfælde at lægge de anslåede samlede omkostninger til it-systemet til de samlede it-omkostninger i myndigheden i spørgsmål C.”</w:t>
      </w:r>
    </w:p>
    <w:p w:rsidR="00B53E2E" w:rsidRDefault="00B53E2E" w:rsidP="00B53E2E">
      <w:pPr>
        <w:pStyle w:val="Opstilling-punkttegn"/>
        <w:numPr>
          <w:ilvl w:val="0"/>
          <w:numId w:val="10"/>
        </w:numPr>
      </w:pPr>
      <w:r>
        <w:t>Det tilføjes, at omkostninger opgøres brutto.</w:t>
      </w:r>
    </w:p>
    <w:p w:rsidR="005B68B2" w:rsidRPr="005B68B2" w:rsidRDefault="005B68B2" w:rsidP="005B68B2">
      <w:pPr>
        <w:pStyle w:val="Opstilling-punkttegn"/>
      </w:pPr>
      <w:r w:rsidRPr="005B68B2">
        <w:rPr>
          <w:rFonts w:eastAsiaTheme="minorHAnsi"/>
          <w:lang w:eastAsia="en-US"/>
        </w:rPr>
        <w:t>Eksempler på aktiviteter/processer til forventede fremtidige investeringer i it-systemet uddybes og specificeres</w:t>
      </w:r>
      <w:r>
        <w:rPr>
          <w:rFonts w:eastAsiaTheme="minorHAnsi"/>
          <w:lang w:eastAsia="en-US"/>
        </w:rPr>
        <w:t>:</w:t>
      </w:r>
    </w:p>
    <w:p w:rsidR="005B68B2" w:rsidRDefault="005B68B2" w:rsidP="005B68B2">
      <w:pPr>
        <w:pStyle w:val="Opstilling-punkttegn"/>
        <w:numPr>
          <w:ilvl w:val="0"/>
          <w:numId w:val="23"/>
        </w:numPr>
      </w:pPr>
      <w:r w:rsidRPr="005B68B2">
        <w:rPr>
          <w:rFonts w:eastAsiaTheme="minorHAnsi"/>
          <w:lang w:eastAsia="en-US"/>
        </w:rPr>
        <w:t>Videreudvikling af it-systemet er</w:t>
      </w:r>
      <w:r>
        <w:t xml:space="preserve"> nye udgifter til samme type af aktiviteter, der findes under omkostningstypen ’Udvikling’ og de skal opgøres udgiftsbaseret.</w:t>
      </w:r>
    </w:p>
    <w:p w:rsidR="005B68B2" w:rsidRDefault="005B68B2" w:rsidP="005B68B2">
      <w:pPr>
        <w:pStyle w:val="Opstilling-punkttegn"/>
        <w:numPr>
          <w:ilvl w:val="0"/>
          <w:numId w:val="23"/>
        </w:numPr>
      </w:pPr>
      <w:r>
        <w:t xml:space="preserve">Genudbud af it-systemet inkluderer </w:t>
      </w:r>
      <w:r w:rsidRPr="005B68B2">
        <w:rPr>
          <w:u w:val="single"/>
        </w:rPr>
        <w:t>alle</w:t>
      </w:r>
      <w:r w:rsidRPr="005B68B2">
        <w:t xml:space="preserve"> afledte udgifter til</w:t>
      </w:r>
      <w:r>
        <w:t xml:space="preserve"> udbud.</w:t>
      </w:r>
    </w:p>
    <w:p w:rsidR="005B68B2" w:rsidRPr="005B68B2" w:rsidRDefault="005B68B2" w:rsidP="005B68B2">
      <w:pPr>
        <w:pStyle w:val="Opstilling-punkttegn"/>
        <w:numPr>
          <w:ilvl w:val="0"/>
          <w:numId w:val="23"/>
        </w:numPr>
        <w:rPr>
          <w:i/>
        </w:rPr>
      </w:pPr>
      <w:proofErr w:type="spellStart"/>
      <w:r>
        <w:t>Omformulering</w:t>
      </w:r>
      <w:proofErr w:type="spellEnd"/>
      <w:r>
        <w:t xml:space="preserve"> af sidste punkt, til: </w:t>
      </w:r>
      <w:r w:rsidRPr="005B68B2">
        <w:rPr>
          <w:i/>
        </w:rPr>
        <w:t>Tilføjelse af nye ressourcer til driftsafvikling eller vedligehold af it-systemet.</w:t>
      </w:r>
    </w:p>
    <w:p w:rsidR="00181609" w:rsidRPr="00B53E2E" w:rsidRDefault="00181609" w:rsidP="00B53E2E"/>
    <w:sectPr w:rsidR="00181609" w:rsidRPr="00B53E2E" w:rsidSect="009E377C">
      <w:headerReference w:type="default" r:id="rId8"/>
      <w:headerReference w:type="first" r:id="rId9"/>
      <w:endnotePr>
        <w:numFmt w:val="decimal"/>
      </w:endnotePr>
      <w:pgSz w:w="11907" w:h="16840" w:code="9"/>
      <w:pgMar w:top="2320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7E0" w:rsidRDefault="00FB27E0">
      <w:r>
        <w:separator/>
      </w:r>
    </w:p>
  </w:endnote>
  <w:endnote w:type="continuationSeparator" w:id="0">
    <w:p w:rsidR="00FB27E0" w:rsidRDefault="00FB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7E0" w:rsidRPr="0093342C" w:rsidRDefault="00FB27E0" w:rsidP="0093342C">
      <w:pPr>
        <w:pStyle w:val="FootnoteSeperator"/>
      </w:pPr>
    </w:p>
  </w:footnote>
  <w:footnote w:type="continuationSeparator" w:id="0">
    <w:p w:rsidR="00FB27E0" w:rsidRDefault="00FB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9D" w:rsidRPr="00433F79" w:rsidRDefault="00C40F41" w:rsidP="00F3309D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66EDF16C" wp14:editId="51539C5E">
          <wp:simplePos x="0" y="0"/>
          <wp:positionH relativeFrom="page">
            <wp:align>center</wp:align>
          </wp:positionH>
          <wp:positionV relativeFrom="page">
            <wp:posOffset>377825</wp:posOffset>
          </wp:positionV>
          <wp:extent cx="1562400" cy="414000"/>
          <wp:effectExtent l="0" t="0" r="0" b="5715"/>
          <wp:wrapNone/>
          <wp:docPr id="3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08105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62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09D">
      <w:tab/>
    </w:r>
    <w:bookmarkStart w:id="3" w:name="SD_LAN_Page"/>
    <w:r w:rsidR="00B53E2E">
      <w:rPr>
        <w:rStyle w:val="Sidetal"/>
      </w:rPr>
      <w:t>Side</w:t>
    </w:r>
    <w:bookmarkEnd w:id="3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PAGE </w:instrText>
    </w:r>
    <w:r w:rsidR="00F3309D" w:rsidRPr="00433F79">
      <w:rPr>
        <w:rStyle w:val="Sidetal"/>
      </w:rPr>
      <w:fldChar w:fldCharType="separate"/>
    </w:r>
    <w:r w:rsidR="00184267">
      <w:rPr>
        <w:rStyle w:val="Sidetal"/>
        <w:noProof/>
      </w:rPr>
      <w:t>2</w:t>
    </w:r>
    <w:r w:rsidR="00F3309D" w:rsidRPr="00433F79">
      <w:rPr>
        <w:rStyle w:val="Sidetal"/>
      </w:rPr>
      <w:fldChar w:fldCharType="end"/>
    </w:r>
    <w:r w:rsidR="00F3309D" w:rsidRPr="00433F79">
      <w:rPr>
        <w:rStyle w:val="Sidetal"/>
      </w:rPr>
      <w:t xml:space="preserve"> </w:t>
    </w:r>
    <w:bookmarkStart w:id="4" w:name="SD_LAN_Of"/>
    <w:r w:rsidR="00B53E2E">
      <w:rPr>
        <w:rStyle w:val="Sidetal"/>
      </w:rPr>
      <w:t>af</w:t>
    </w:r>
    <w:bookmarkEnd w:id="4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</w:instrText>
    </w:r>
    <w:r w:rsidR="00F3309D">
      <w:rPr>
        <w:rStyle w:val="Sidetal"/>
      </w:rPr>
      <w:instrText>NUMPAGES</w:instrText>
    </w:r>
    <w:r w:rsidR="00F3309D" w:rsidRPr="00433F79">
      <w:rPr>
        <w:rStyle w:val="Sidetal"/>
      </w:rPr>
      <w:instrText xml:space="preserve"> </w:instrText>
    </w:r>
    <w:r w:rsidR="00F3309D" w:rsidRPr="00433F79">
      <w:rPr>
        <w:rStyle w:val="Sidetal"/>
      </w:rPr>
      <w:fldChar w:fldCharType="separate"/>
    </w:r>
    <w:r w:rsidR="00184267">
      <w:rPr>
        <w:rStyle w:val="Sidetal"/>
        <w:noProof/>
      </w:rPr>
      <w:t>4</w:t>
    </w:r>
    <w:r w:rsidR="00F3309D" w:rsidRPr="00433F79"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88" w:rsidRDefault="00847B88" w:rsidP="00847B88">
    <w:pPr>
      <w:pStyle w:val="Sidehoved"/>
      <w:spacing w:after="0"/>
    </w:pPr>
    <w:bookmarkStart w:id="5" w:name="SD_Notat"/>
    <w:bookmarkEnd w:id="5"/>
  </w:p>
  <w:p w:rsidR="00847B88" w:rsidRDefault="00847B88" w:rsidP="00847B88">
    <w:pPr>
      <w:pStyle w:val="Sidehoved"/>
      <w:spacing w:after="0"/>
    </w:pPr>
    <w:r>
      <w:rPr>
        <w:noProof/>
      </w:rPr>
      <w:drawing>
        <wp:anchor distT="0" distB="0" distL="0" distR="0" simplePos="0" relativeHeight="251660287" behindDoc="0" locked="0" layoutInCell="1" allowOverlap="1" wp14:anchorId="41E3AE6D" wp14:editId="56A75C72">
          <wp:simplePos x="0" y="0"/>
          <wp:positionH relativeFrom="page">
            <wp:align>center</wp:align>
          </wp:positionH>
          <wp:positionV relativeFrom="page">
            <wp:posOffset>377999</wp:posOffset>
          </wp:positionV>
          <wp:extent cx="1562049" cy="414000"/>
          <wp:effectExtent l="0" t="0" r="0" b="0"/>
          <wp:wrapNone/>
          <wp:docPr id="203208105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08105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62049" cy="41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A069FA"/>
    <w:multiLevelType w:val="hybridMultilevel"/>
    <w:tmpl w:val="B768B9D0"/>
    <w:lvl w:ilvl="0" w:tplc="0406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0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1" w15:restartNumberingAfterBreak="0">
    <w:nsid w:val="08C36246"/>
    <w:multiLevelType w:val="hybridMultilevel"/>
    <w:tmpl w:val="B86A62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AA49EA"/>
    <w:multiLevelType w:val="hybridMultilevel"/>
    <w:tmpl w:val="BD7E27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7237EC"/>
    <w:multiLevelType w:val="hybridMultilevel"/>
    <w:tmpl w:val="52EA45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93116DD"/>
    <w:multiLevelType w:val="multilevel"/>
    <w:tmpl w:val="E4BCA43E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6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9" w15:restartNumberingAfterBreak="0">
    <w:nsid w:val="68E86925"/>
    <w:multiLevelType w:val="multilevel"/>
    <w:tmpl w:val="32147EA4"/>
    <w:numStyleLink w:val="ListStyleTableBullet"/>
  </w:abstractNum>
  <w:abstractNum w:abstractNumId="20" w15:restartNumberingAfterBreak="0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1" w15:restartNumberingAfterBreak="0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2" w15:restartNumberingAfterBreak="0">
    <w:nsid w:val="78C3249C"/>
    <w:multiLevelType w:val="multilevel"/>
    <w:tmpl w:val="32147EA4"/>
    <w:styleLink w:val="ListStyleTableBullet"/>
    <w:lvl w:ilvl="0">
      <w:start w:val="1"/>
      <w:numFmt w:val="bullet"/>
      <w:lvlRestart w:val="0"/>
      <w:pStyle w:val="Tabel-opstilling-punkttegn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pStyle w:val="Tabel-opstilling-punkttegn2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b w:val="0"/>
        <w:color w:val="00454E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9"/>
  </w:num>
  <w:num w:numId="5">
    <w:abstractNumId w:val="1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5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21"/>
  </w:num>
  <w:num w:numId="17">
    <w:abstractNumId w:val="20"/>
  </w:num>
  <w:num w:numId="18">
    <w:abstractNumId w:val="9"/>
  </w:num>
  <w:num w:numId="19">
    <w:abstractNumId w:val="18"/>
  </w:num>
  <w:num w:numId="20">
    <w:abstractNumId w:val="15"/>
  </w:num>
  <w:num w:numId="21">
    <w:abstractNumId w:val="10"/>
  </w:num>
  <w:num w:numId="22">
    <w:abstractNumId w:val="10"/>
  </w:num>
  <w:num w:numId="23">
    <w:abstractNumId w:val="8"/>
  </w:num>
  <w:num w:numId="24">
    <w:abstractNumId w:val="22"/>
  </w:num>
  <w:num w:numId="25">
    <w:abstractNumId w:val="19"/>
  </w:num>
  <w:num w:numId="26">
    <w:abstractNumId w:val="11"/>
  </w:num>
  <w:num w:numId="27">
    <w:abstractNumId w:val="13"/>
  </w:num>
  <w:num w:numId="28">
    <w:abstractNumId w:val="15"/>
  </w:num>
  <w:num w:numId="2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2E"/>
    <w:rsid w:val="000035B8"/>
    <w:rsid w:val="00017AB4"/>
    <w:rsid w:val="00022F36"/>
    <w:rsid w:val="000250D6"/>
    <w:rsid w:val="00025355"/>
    <w:rsid w:val="00036862"/>
    <w:rsid w:val="000421D4"/>
    <w:rsid w:val="00051A09"/>
    <w:rsid w:val="000565AB"/>
    <w:rsid w:val="00066058"/>
    <w:rsid w:val="00067296"/>
    <w:rsid w:val="000769DC"/>
    <w:rsid w:val="0008749C"/>
    <w:rsid w:val="000B0DAA"/>
    <w:rsid w:val="000B61C8"/>
    <w:rsid w:val="000B75AA"/>
    <w:rsid w:val="000D6E63"/>
    <w:rsid w:val="000D7855"/>
    <w:rsid w:val="000F05E1"/>
    <w:rsid w:val="000F15FA"/>
    <w:rsid w:val="00101552"/>
    <w:rsid w:val="00107B13"/>
    <w:rsid w:val="001105C6"/>
    <w:rsid w:val="00114D87"/>
    <w:rsid w:val="0012489C"/>
    <w:rsid w:val="00125452"/>
    <w:rsid w:val="00136765"/>
    <w:rsid w:val="00153477"/>
    <w:rsid w:val="00153566"/>
    <w:rsid w:val="00161934"/>
    <w:rsid w:val="00161CC7"/>
    <w:rsid w:val="001642D9"/>
    <w:rsid w:val="00181609"/>
    <w:rsid w:val="00184267"/>
    <w:rsid w:val="00186F7F"/>
    <w:rsid w:val="0019217D"/>
    <w:rsid w:val="00192812"/>
    <w:rsid w:val="001A6137"/>
    <w:rsid w:val="001B007C"/>
    <w:rsid w:val="001B23AC"/>
    <w:rsid w:val="001C081F"/>
    <w:rsid w:val="001C4B5D"/>
    <w:rsid w:val="001D2A03"/>
    <w:rsid w:val="001F4299"/>
    <w:rsid w:val="00211AB6"/>
    <w:rsid w:val="00216BE3"/>
    <w:rsid w:val="002171DE"/>
    <w:rsid w:val="00217E5B"/>
    <w:rsid w:val="00227FFC"/>
    <w:rsid w:val="00230720"/>
    <w:rsid w:val="00234EF4"/>
    <w:rsid w:val="0024217B"/>
    <w:rsid w:val="0024430C"/>
    <w:rsid w:val="00246F63"/>
    <w:rsid w:val="00260257"/>
    <w:rsid w:val="002672B3"/>
    <w:rsid w:val="002672F6"/>
    <w:rsid w:val="00270BA3"/>
    <w:rsid w:val="002807B3"/>
    <w:rsid w:val="00297AFF"/>
    <w:rsid w:val="00297E3C"/>
    <w:rsid w:val="002A2BF7"/>
    <w:rsid w:val="002A4527"/>
    <w:rsid w:val="002A4BD5"/>
    <w:rsid w:val="002A4CD3"/>
    <w:rsid w:val="002C1153"/>
    <w:rsid w:val="002E326D"/>
    <w:rsid w:val="002F2D9E"/>
    <w:rsid w:val="002F5B9A"/>
    <w:rsid w:val="002F65B1"/>
    <w:rsid w:val="00331E55"/>
    <w:rsid w:val="00350F46"/>
    <w:rsid w:val="00394BC6"/>
    <w:rsid w:val="003A2487"/>
    <w:rsid w:val="003A4BFC"/>
    <w:rsid w:val="003A7C5E"/>
    <w:rsid w:val="003E6170"/>
    <w:rsid w:val="003F7E2E"/>
    <w:rsid w:val="00406A77"/>
    <w:rsid w:val="00407A2D"/>
    <w:rsid w:val="00411E02"/>
    <w:rsid w:val="00420C65"/>
    <w:rsid w:val="0043074C"/>
    <w:rsid w:val="004357F5"/>
    <w:rsid w:val="0045008B"/>
    <w:rsid w:val="00461244"/>
    <w:rsid w:val="00483C3B"/>
    <w:rsid w:val="00493EAD"/>
    <w:rsid w:val="004B5732"/>
    <w:rsid w:val="004C29DF"/>
    <w:rsid w:val="004C3BD5"/>
    <w:rsid w:val="004E4CD5"/>
    <w:rsid w:val="004F3082"/>
    <w:rsid w:val="005001B3"/>
    <w:rsid w:val="00504494"/>
    <w:rsid w:val="0050453A"/>
    <w:rsid w:val="005140EA"/>
    <w:rsid w:val="0052131E"/>
    <w:rsid w:val="00523C5B"/>
    <w:rsid w:val="00542A00"/>
    <w:rsid w:val="005448DA"/>
    <w:rsid w:val="00545F55"/>
    <w:rsid w:val="005478A7"/>
    <w:rsid w:val="00553194"/>
    <w:rsid w:val="00564020"/>
    <w:rsid w:val="00570BB3"/>
    <w:rsid w:val="00575F39"/>
    <w:rsid w:val="00576C37"/>
    <w:rsid w:val="005802EE"/>
    <w:rsid w:val="00584378"/>
    <w:rsid w:val="005A0090"/>
    <w:rsid w:val="005B5A82"/>
    <w:rsid w:val="005B68B2"/>
    <w:rsid w:val="005C32DE"/>
    <w:rsid w:val="005D1B36"/>
    <w:rsid w:val="005E3E22"/>
    <w:rsid w:val="005E6CB9"/>
    <w:rsid w:val="00620DCC"/>
    <w:rsid w:val="00640ECC"/>
    <w:rsid w:val="00673D93"/>
    <w:rsid w:val="006835D0"/>
    <w:rsid w:val="00690C8C"/>
    <w:rsid w:val="00694D75"/>
    <w:rsid w:val="006A784C"/>
    <w:rsid w:val="006D19B3"/>
    <w:rsid w:val="006D5EC7"/>
    <w:rsid w:val="006E60C1"/>
    <w:rsid w:val="006E694D"/>
    <w:rsid w:val="00702A50"/>
    <w:rsid w:val="00703C50"/>
    <w:rsid w:val="00711522"/>
    <w:rsid w:val="007128F0"/>
    <w:rsid w:val="0071338F"/>
    <w:rsid w:val="00722C5A"/>
    <w:rsid w:val="007240BF"/>
    <w:rsid w:val="007317FB"/>
    <w:rsid w:val="00736658"/>
    <w:rsid w:val="00751A9F"/>
    <w:rsid w:val="007558AC"/>
    <w:rsid w:val="00757790"/>
    <w:rsid w:val="007949C7"/>
    <w:rsid w:val="00794A97"/>
    <w:rsid w:val="007955B4"/>
    <w:rsid w:val="007B1E75"/>
    <w:rsid w:val="007B2216"/>
    <w:rsid w:val="007C0A94"/>
    <w:rsid w:val="007C1E8D"/>
    <w:rsid w:val="007C2199"/>
    <w:rsid w:val="007C3256"/>
    <w:rsid w:val="007F382F"/>
    <w:rsid w:val="00810F06"/>
    <w:rsid w:val="00812F86"/>
    <w:rsid w:val="008208BC"/>
    <w:rsid w:val="00827399"/>
    <w:rsid w:val="008319C9"/>
    <w:rsid w:val="00832E2F"/>
    <w:rsid w:val="00833F8D"/>
    <w:rsid w:val="00841F21"/>
    <w:rsid w:val="00847B88"/>
    <w:rsid w:val="00850EB5"/>
    <w:rsid w:val="008511A5"/>
    <w:rsid w:val="0085337D"/>
    <w:rsid w:val="0085744B"/>
    <w:rsid w:val="008632C9"/>
    <w:rsid w:val="00863559"/>
    <w:rsid w:val="008A0687"/>
    <w:rsid w:val="008A17C7"/>
    <w:rsid w:val="008A5EDA"/>
    <w:rsid w:val="008A6101"/>
    <w:rsid w:val="008B33B1"/>
    <w:rsid w:val="008B3B52"/>
    <w:rsid w:val="008C7EAD"/>
    <w:rsid w:val="008D0573"/>
    <w:rsid w:val="008D1A60"/>
    <w:rsid w:val="008D21AE"/>
    <w:rsid w:val="008D5495"/>
    <w:rsid w:val="008D7E07"/>
    <w:rsid w:val="008E3AE5"/>
    <w:rsid w:val="008F0FE1"/>
    <w:rsid w:val="008F1CCF"/>
    <w:rsid w:val="0090342B"/>
    <w:rsid w:val="00930D9B"/>
    <w:rsid w:val="00930E78"/>
    <w:rsid w:val="0093235B"/>
    <w:rsid w:val="0093342C"/>
    <w:rsid w:val="00946A30"/>
    <w:rsid w:val="009508BA"/>
    <w:rsid w:val="00952765"/>
    <w:rsid w:val="00956412"/>
    <w:rsid w:val="00956D8A"/>
    <w:rsid w:val="00970441"/>
    <w:rsid w:val="00971AA9"/>
    <w:rsid w:val="009859A7"/>
    <w:rsid w:val="00985C7E"/>
    <w:rsid w:val="009911AD"/>
    <w:rsid w:val="009A06B6"/>
    <w:rsid w:val="009A06D8"/>
    <w:rsid w:val="009A167D"/>
    <w:rsid w:val="009B1328"/>
    <w:rsid w:val="009B5E3E"/>
    <w:rsid w:val="009B7C02"/>
    <w:rsid w:val="009C28EF"/>
    <w:rsid w:val="009C388B"/>
    <w:rsid w:val="009C3A4A"/>
    <w:rsid w:val="009C6009"/>
    <w:rsid w:val="009D3340"/>
    <w:rsid w:val="009E163A"/>
    <w:rsid w:val="009E377C"/>
    <w:rsid w:val="009F27A2"/>
    <w:rsid w:val="009F3067"/>
    <w:rsid w:val="009F41CB"/>
    <w:rsid w:val="00A059FC"/>
    <w:rsid w:val="00A06294"/>
    <w:rsid w:val="00A24BB9"/>
    <w:rsid w:val="00A266CB"/>
    <w:rsid w:val="00A30CBD"/>
    <w:rsid w:val="00A34E40"/>
    <w:rsid w:val="00A42BEC"/>
    <w:rsid w:val="00A461AC"/>
    <w:rsid w:val="00A55427"/>
    <w:rsid w:val="00A556F2"/>
    <w:rsid w:val="00A575C5"/>
    <w:rsid w:val="00A65A51"/>
    <w:rsid w:val="00A80015"/>
    <w:rsid w:val="00A825BA"/>
    <w:rsid w:val="00A82C53"/>
    <w:rsid w:val="00AB47BB"/>
    <w:rsid w:val="00AB68E5"/>
    <w:rsid w:val="00AC58C8"/>
    <w:rsid w:val="00AC6FF2"/>
    <w:rsid w:val="00AD49B3"/>
    <w:rsid w:val="00B17861"/>
    <w:rsid w:val="00B20710"/>
    <w:rsid w:val="00B30C69"/>
    <w:rsid w:val="00B313E5"/>
    <w:rsid w:val="00B33034"/>
    <w:rsid w:val="00B51927"/>
    <w:rsid w:val="00B53E2E"/>
    <w:rsid w:val="00B63640"/>
    <w:rsid w:val="00B70F67"/>
    <w:rsid w:val="00B72585"/>
    <w:rsid w:val="00B7351E"/>
    <w:rsid w:val="00B760B8"/>
    <w:rsid w:val="00B77F52"/>
    <w:rsid w:val="00B8541D"/>
    <w:rsid w:val="00B91E7D"/>
    <w:rsid w:val="00B96627"/>
    <w:rsid w:val="00BA2C8D"/>
    <w:rsid w:val="00BA56DF"/>
    <w:rsid w:val="00BB1363"/>
    <w:rsid w:val="00BC1FF2"/>
    <w:rsid w:val="00BC3C7C"/>
    <w:rsid w:val="00BD0257"/>
    <w:rsid w:val="00BE7A2C"/>
    <w:rsid w:val="00BE7FBE"/>
    <w:rsid w:val="00C03ABC"/>
    <w:rsid w:val="00C05117"/>
    <w:rsid w:val="00C22FED"/>
    <w:rsid w:val="00C31655"/>
    <w:rsid w:val="00C346EB"/>
    <w:rsid w:val="00C40F41"/>
    <w:rsid w:val="00C44DE3"/>
    <w:rsid w:val="00C6591D"/>
    <w:rsid w:val="00C769F5"/>
    <w:rsid w:val="00C76C2A"/>
    <w:rsid w:val="00C86BEE"/>
    <w:rsid w:val="00C91FC4"/>
    <w:rsid w:val="00C928F6"/>
    <w:rsid w:val="00CA0509"/>
    <w:rsid w:val="00CA1B31"/>
    <w:rsid w:val="00CB2800"/>
    <w:rsid w:val="00CB2E97"/>
    <w:rsid w:val="00CB548C"/>
    <w:rsid w:val="00CC05CC"/>
    <w:rsid w:val="00CE3F8A"/>
    <w:rsid w:val="00CF18B3"/>
    <w:rsid w:val="00CF1C87"/>
    <w:rsid w:val="00CF270F"/>
    <w:rsid w:val="00CF367C"/>
    <w:rsid w:val="00CF7153"/>
    <w:rsid w:val="00D10112"/>
    <w:rsid w:val="00D252B0"/>
    <w:rsid w:val="00D27834"/>
    <w:rsid w:val="00D3791D"/>
    <w:rsid w:val="00D416A3"/>
    <w:rsid w:val="00D522CD"/>
    <w:rsid w:val="00D678FF"/>
    <w:rsid w:val="00D73B4D"/>
    <w:rsid w:val="00D84A3E"/>
    <w:rsid w:val="00D86347"/>
    <w:rsid w:val="00D9181F"/>
    <w:rsid w:val="00D933A8"/>
    <w:rsid w:val="00DA7968"/>
    <w:rsid w:val="00DB0729"/>
    <w:rsid w:val="00DC0CCF"/>
    <w:rsid w:val="00DC3E14"/>
    <w:rsid w:val="00DC3E1B"/>
    <w:rsid w:val="00DD0A98"/>
    <w:rsid w:val="00DD545E"/>
    <w:rsid w:val="00DD7EE5"/>
    <w:rsid w:val="00DE6A38"/>
    <w:rsid w:val="00E14B72"/>
    <w:rsid w:val="00E17D1D"/>
    <w:rsid w:val="00E559C6"/>
    <w:rsid w:val="00E5629F"/>
    <w:rsid w:val="00E57C26"/>
    <w:rsid w:val="00E87B31"/>
    <w:rsid w:val="00E932E7"/>
    <w:rsid w:val="00E9513F"/>
    <w:rsid w:val="00EB6620"/>
    <w:rsid w:val="00EC08EF"/>
    <w:rsid w:val="00ED59B0"/>
    <w:rsid w:val="00EE1C0D"/>
    <w:rsid w:val="00EE6B61"/>
    <w:rsid w:val="00EF1556"/>
    <w:rsid w:val="00EF36FB"/>
    <w:rsid w:val="00EF7BFF"/>
    <w:rsid w:val="00F12DC3"/>
    <w:rsid w:val="00F1746F"/>
    <w:rsid w:val="00F17F2E"/>
    <w:rsid w:val="00F3309D"/>
    <w:rsid w:val="00F33D23"/>
    <w:rsid w:val="00F51016"/>
    <w:rsid w:val="00F543F7"/>
    <w:rsid w:val="00F60DC0"/>
    <w:rsid w:val="00F677FC"/>
    <w:rsid w:val="00F67E15"/>
    <w:rsid w:val="00F71D4D"/>
    <w:rsid w:val="00F73B30"/>
    <w:rsid w:val="00F76F6E"/>
    <w:rsid w:val="00F82D3E"/>
    <w:rsid w:val="00F84244"/>
    <w:rsid w:val="00F847A6"/>
    <w:rsid w:val="00F925B7"/>
    <w:rsid w:val="00F93017"/>
    <w:rsid w:val="00F93B1E"/>
    <w:rsid w:val="00F966C1"/>
    <w:rsid w:val="00F96741"/>
    <w:rsid w:val="00F977F9"/>
    <w:rsid w:val="00FA0087"/>
    <w:rsid w:val="00FA2375"/>
    <w:rsid w:val="00FA5D46"/>
    <w:rsid w:val="00FA78CE"/>
    <w:rsid w:val="00FB045F"/>
    <w:rsid w:val="00FB099C"/>
    <w:rsid w:val="00FB27E0"/>
    <w:rsid w:val="00FE0573"/>
    <w:rsid w:val="00F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F8F5E"/>
  <w15:docId w15:val="{EA4788B1-DA98-45A2-8917-DE072047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E2E"/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5"/>
    <w:qFormat/>
    <w:rsid w:val="00D9181F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Mail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Liste">
    <w:name w:val="List"/>
    <w:basedOn w:val="Normal"/>
    <w:uiPriority w:val="99"/>
    <w:semiHidden/>
    <w:rsid w:val="0052131E"/>
    <w:pPr>
      <w:ind w:left="283" w:hanging="283"/>
    </w:pPr>
  </w:style>
  <w:style w:type="paragraph" w:styleId="Liste2">
    <w:name w:val="List 2"/>
    <w:basedOn w:val="Normal"/>
    <w:uiPriority w:val="99"/>
    <w:semiHidden/>
    <w:rsid w:val="0052131E"/>
    <w:pPr>
      <w:ind w:left="566" w:hanging="283"/>
    </w:pPr>
  </w:style>
  <w:style w:type="paragraph" w:styleId="Liste3">
    <w:name w:val="List 3"/>
    <w:basedOn w:val="Normal"/>
    <w:uiPriority w:val="99"/>
    <w:semiHidden/>
    <w:rsid w:val="0052131E"/>
    <w:pPr>
      <w:ind w:left="849" w:hanging="283"/>
    </w:pPr>
  </w:style>
  <w:style w:type="paragraph" w:styleId="Liste4">
    <w:name w:val="List 4"/>
    <w:basedOn w:val="Normal"/>
    <w:uiPriority w:val="99"/>
    <w:semiHidden/>
    <w:rsid w:val="0052131E"/>
    <w:pPr>
      <w:ind w:left="1132" w:hanging="283"/>
    </w:pPr>
  </w:style>
  <w:style w:type="paragraph" w:styleId="Liste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3F7E2E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297AFF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F93017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8E3AE5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33034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uiPriority w:val="6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uiPriority w:val="6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uiPriority w:val="5"/>
    <w:locked/>
    <w:rsid w:val="00AB68E5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character" w:styleId="Kommentarhenvisning">
    <w:name w:val="annotation reference"/>
    <w:basedOn w:val="Standardskrifttypeiafsnit"/>
    <w:uiPriority w:val="99"/>
    <w:semiHidden/>
    <w:rsid w:val="00B53E2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B53E2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53E2E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5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3E2E"/>
    <w:rPr>
      <w:rFonts w:ascii="Tahoma" w:hAnsi="Tahoma" w:cs="Tahoma"/>
      <w:sz w:val="16"/>
      <w:szCs w:val="16"/>
    </w:rPr>
  </w:style>
  <w:style w:type="paragraph" w:customStyle="1" w:styleId="Tabel">
    <w:name w:val="Tabel"/>
    <w:basedOn w:val="Normal"/>
    <w:link w:val="TabelChar"/>
    <w:uiPriority w:val="10"/>
    <w:qFormat/>
    <w:rsid w:val="005B68B2"/>
    <w:pPr>
      <w:spacing w:before="60" w:after="60" w:line="240" w:lineRule="auto"/>
    </w:pPr>
    <w:rPr>
      <w:rFonts w:asciiTheme="minorHAnsi" w:eastAsiaTheme="minorEastAsia" w:hAnsiTheme="minorHAnsi" w:cstheme="minorBidi"/>
      <w:sz w:val="20"/>
      <w:szCs w:val="22"/>
    </w:rPr>
  </w:style>
  <w:style w:type="character" w:customStyle="1" w:styleId="TabelChar">
    <w:name w:val="Tabel Char"/>
    <w:basedOn w:val="Standardskrifttypeiafsnit"/>
    <w:link w:val="Tabel"/>
    <w:uiPriority w:val="10"/>
    <w:rsid w:val="005B68B2"/>
    <w:rPr>
      <w:rFonts w:asciiTheme="minorHAnsi" w:eastAsiaTheme="minorEastAsia" w:hAnsiTheme="minorHAnsi" w:cstheme="minorBidi"/>
      <w:sz w:val="20"/>
      <w:szCs w:val="22"/>
    </w:rPr>
  </w:style>
  <w:style w:type="paragraph" w:customStyle="1" w:styleId="Tabel-opstilling-punkttegn">
    <w:name w:val="Tabel - opstilling - punkttegn"/>
    <w:basedOn w:val="Tabel"/>
    <w:uiPriority w:val="14"/>
    <w:qFormat/>
    <w:rsid w:val="005B68B2"/>
    <w:pPr>
      <w:numPr>
        <w:numId w:val="25"/>
      </w:numPr>
      <w:ind w:left="568" w:hanging="284"/>
      <w:contextualSpacing/>
    </w:pPr>
    <w:rPr>
      <w:rFonts w:eastAsia="Times New Roman" w:cs="Arial"/>
      <w:kern w:val="20"/>
      <w:szCs w:val="24"/>
      <w:lang w:eastAsia="en-US"/>
    </w:rPr>
  </w:style>
  <w:style w:type="paragraph" w:customStyle="1" w:styleId="Tabel-opstilling-punkttegn2">
    <w:name w:val="Tabel - opstilling - punkttegn 2"/>
    <w:basedOn w:val="Tabel"/>
    <w:uiPriority w:val="15"/>
    <w:rsid w:val="005B68B2"/>
    <w:pPr>
      <w:numPr>
        <w:ilvl w:val="1"/>
        <w:numId w:val="25"/>
      </w:numPr>
      <w:spacing w:line="220" w:lineRule="atLeast"/>
      <w:contextualSpacing/>
    </w:pPr>
    <w:rPr>
      <w:rFonts w:eastAsia="Times New Roman" w:cs="Arial"/>
      <w:kern w:val="20"/>
      <w:szCs w:val="24"/>
      <w:lang w:eastAsia="en-US"/>
    </w:rPr>
  </w:style>
  <w:style w:type="numbering" w:customStyle="1" w:styleId="ListStyleTableBullet">
    <w:name w:val="ListStyle_TableBullet"/>
    <w:basedOn w:val="Ingenoversigt"/>
    <w:uiPriority w:val="99"/>
    <w:semiHidden/>
    <w:rsid w:val="005B68B2"/>
    <w:pPr>
      <w:numPr>
        <w:numId w:val="24"/>
      </w:numPr>
    </w:pPr>
  </w:style>
  <w:style w:type="paragraph" w:customStyle="1" w:styleId="Default">
    <w:name w:val="Default"/>
    <w:basedOn w:val="Normal"/>
    <w:rsid w:val="00246F63"/>
    <w:pPr>
      <w:autoSpaceDE w:val="0"/>
      <w:autoSpaceDN w:val="0"/>
      <w:spacing w:after="0" w:line="240" w:lineRule="auto"/>
    </w:pPr>
    <w:rPr>
      <w:rFonts w:eastAsiaTheme="minorHAnsi"/>
      <w:color w:val="000000"/>
      <w:lang w:eastAsia="en-US"/>
    </w:rPr>
  </w:style>
  <w:style w:type="paragraph" w:styleId="Listeafsnit">
    <w:name w:val="List Paragraph"/>
    <w:basedOn w:val="Normal"/>
    <w:uiPriority w:val="99"/>
    <w:qFormat/>
    <w:rsid w:val="00EC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19723\appdata\roaming\microsoft\skabeloner\WordEngineTemplates\Notat.dotm" TargetMode="External"/></Relationships>
</file>

<file path=word/theme/theme1.xml><?xml version="1.0" encoding="utf-8"?>
<a:theme xmlns:a="http://schemas.openxmlformats.org/drawingml/2006/main" name="Kontortema">
  <a:themeElements>
    <a:clrScheme name="Digitaliseringsstyrelsen">
      <a:dk1>
        <a:srgbClr val="000000"/>
      </a:dk1>
      <a:lt1>
        <a:srgbClr val="FFFFFF"/>
      </a:lt1>
      <a:dk2>
        <a:srgbClr val="940027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A8A7C-B3C3-49DD-B605-AA79A66A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4</TotalTime>
  <Pages>4</Pages>
  <Words>961</Words>
  <Characters>5865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Ændringslog til Vejledning til model for porteføljestyring af statslige it-systemer</vt:lpstr>
      <vt:lpstr>Notat</vt:lpstr>
    </vt:vector>
  </TitlesOfParts>
  <Company>Finansministeriet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Ændringslog til Vejledning til model for porteføljestyring af statslige it-systemer</dc:title>
  <dc:creator>Benedicte Christensen</dc:creator>
  <cp:lastModifiedBy>Mathias Lørup Jakobsen</cp:lastModifiedBy>
  <cp:revision>8</cp:revision>
  <dcterms:created xsi:type="dcterms:W3CDTF">2024-09-03T11:22:00Z</dcterms:created>
  <dcterms:modified xsi:type="dcterms:W3CDTF">2024-09-16T10:24:00Z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emplate">
    <vt:lpwstr>Notat.dot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Standard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DocumentDate">
    <vt:lpwstr>43404</vt:lpwstr>
  </property>
  <property fmtid="{D5CDD505-2E9C-101B-9397-08002B2CF9AE}" pid="10" name="sdDocumentDateFormat">
    <vt:lpwstr>da-DK:d. MMMM yyyy</vt:lpwstr>
  </property>
  <property fmtid="{D5CDD505-2E9C-101B-9397-08002B2CF9AE}" pid="11" name="SD_DocumentLanguageString">
    <vt:lpwstr>Dansk</vt:lpwstr>
  </property>
  <property fmtid="{D5CDD505-2E9C-101B-9397-08002B2CF9AE}" pid="12" name="SD_CtlText_Usersettings_Userprofile">
    <vt:lpwstr>BENCH</vt:lpwstr>
  </property>
  <property fmtid="{D5CDD505-2E9C-101B-9397-08002B2CF9AE}" pid="13" name="SD_CtlText_General_JournalNr">
    <vt:lpwstr/>
  </property>
  <property fmtid="{D5CDD505-2E9C-101B-9397-08002B2CF9AE}" pid="14" name="SD_UserprofileName">
    <vt:lpwstr>BENCH</vt:lpwstr>
  </property>
  <property fmtid="{D5CDD505-2E9C-101B-9397-08002B2CF9AE}" pid="15" name="SD_Office_OFF_ID">
    <vt:lpwstr>1</vt:lpwstr>
  </property>
  <property fmtid="{D5CDD505-2E9C-101B-9397-08002B2CF9AE}" pid="16" name="CurrentOfficeID">
    <vt:lpwstr>1</vt:lpwstr>
  </property>
  <property fmtid="{D5CDD505-2E9C-101B-9397-08002B2CF9AE}" pid="17" name="SD_Office_OFF_Offices">
    <vt:lpwstr>Digitaliseringsstyrelsen</vt:lpwstr>
  </property>
  <property fmtid="{D5CDD505-2E9C-101B-9397-08002B2CF9AE}" pid="18" name="SD_Office_OFF_OfficeLanguage">
    <vt:lpwstr>da-DK</vt:lpwstr>
  </property>
  <property fmtid="{D5CDD505-2E9C-101B-9397-08002B2CF9AE}" pid="19" name="SD_Office_OFF_Address">
    <vt:lpwstr>Digitaliseringsstyrelsen · Landgreven 4 · Postboks 2193 · 1017 København K · 3392 5200 · www.digst.dk</vt:lpwstr>
  </property>
  <property fmtid="{D5CDD505-2E9C-101B-9397-08002B2CF9AE}" pid="20" name="SD_Office_OFF_ShortAddress">
    <vt:lpwstr>Digitaliseringsstyrelsen · Landgreven 4 · Postboks 2193 · 1017 København K</vt:lpwstr>
  </property>
  <property fmtid="{D5CDD505-2E9C-101B-9397-08002B2CF9AE}" pid="21" name="SD_Office_OFF_ImageDefinition">
    <vt:lpwstr>Logo</vt:lpwstr>
  </property>
  <property fmtid="{D5CDD505-2E9C-101B-9397-08002B2CF9AE}" pid="22" name="SD_USR_Name">
    <vt:lpwstr>Benedicte Christensen</vt:lpwstr>
  </property>
  <property fmtid="{D5CDD505-2E9C-101B-9397-08002B2CF9AE}" pid="23" name="SD_USR_Title">
    <vt:lpwstr>Studentermedhjælper</vt:lpwstr>
  </property>
  <property fmtid="{D5CDD505-2E9C-101B-9397-08002B2CF9AE}" pid="24" name="SD_USR_DirectPhone">
    <vt:lpwstr/>
  </property>
  <property fmtid="{D5CDD505-2E9C-101B-9397-08002B2CF9AE}" pid="25" name="SD_USR_Email">
    <vt:lpwstr/>
  </property>
  <property fmtid="{D5CDD505-2E9C-101B-9397-08002B2CF9AE}" pid="26" name="SD_USR_SagsbehandlerIni">
    <vt:lpwstr/>
  </property>
  <property fmtid="{D5CDD505-2E9C-101B-9397-08002B2CF9AE}" pid="27" name="SD_USR_Enhed">
    <vt:lpwstr/>
  </property>
  <property fmtid="{D5CDD505-2E9C-101B-9397-08002B2CF9AE}" pid="28" name="DocumentInfoFinished">
    <vt:lpwstr>True</vt:lpwstr>
  </property>
</Properties>
</file>